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CB" w:rsidRDefault="00AD4DE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>
        <w:rPr>
          <w:rFonts w:ascii="宋体" w:hAnsi="宋体"/>
          <w:bCs/>
          <w:iCs/>
          <w:sz w:val="24"/>
        </w:rPr>
        <w:t>股份</w:t>
      </w:r>
    </w:p>
    <w:p w:rsidR="000707CB" w:rsidRDefault="00AD4DE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0707CB" w:rsidRDefault="00AD4DE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1F60B5">
        <w:rPr>
          <w:rFonts w:ascii="宋体" w:hAnsi="宋体"/>
          <w:bCs/>
          <w:iCs/>
          <w:sz w:val="24"/>
          <w:szCs w:val="24"/>
        </w:rPr>
        <w:t>7</w:t>
      </w:r>
      <w:bookmarkStart w:id="0" w:name="_GoBack"/>
      <w:bookmarkEnd w:id="0"/>
      <w:r>
        <w:rPr>
          <w:rFonts w:ascii="宋体" w:hAnsi="宋体"/>
          <w:bCs/>
          <w:iCs/>
          <w:sz w:val="24"/>
          <w:szCs w:val="24"/>
        </w:rPr>
        <w:t>-002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707CB" w:rsidRDefault="00AD4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0707CB" w:rsidRDefault="00AD4DE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证券陈平、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神农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投资方建、南方基金王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、上投摩根基金黄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、长信基金陆晓峰、长信基金高远、华尚投资黎林、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维景资本稂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与峰、光大证券仇文妍、广发证券邓荃文、银华基金张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雪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羊、大均资产张冲、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朴道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瑞福赵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、华夏基金徐恒、汇添富基金温宇峰、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野村投信吴维、中国信托投信陈彦羽、三商美邦人寿连玲玉、富邦人寿卢冠彰、保德信投信张径宾、群益投信洪玉婷</w:t>
            </w:r>
          </w:p>
        </w:tc>
      </w:tr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</w:p>
        </w:tc>
      </w:tr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、证券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事务代表、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公司V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R专家</w:t>
            </w:r>
          </w:p>
        </w:tc>
      </w:tr>
      <w:tr w:rsidR="000707CB">
        <w:trPr>
          <w:trHeight w:val="4492"/>
        </w:trPr>
        <w:tc>
          <w:tcPr>
            <w:tcW w:w="1853" w:type="dxa"/>
            <w:shd w:val="clear" w:color="auto" w:fill="auto"/>
            <w:vAlign w:val="center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部分：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公司副总裁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秘书介绍公司基本情况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部分：投资者交流问答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VR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核心竞争力是怎样的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从与日系大客户合作开发相关产品开始，就不断加强自身在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VR领域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的核心竞争力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比如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在光学方面，可以独立开发Aspheric Lens、Fresnel Lens等透镜产品，在电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设计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、结构设计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、软件算法等方面也积累了很强的技术实力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目前与高通进行深度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合作，基于高通芯片产品开发VR一体机产品，提供一站式的产品解决方案，整体系统延迟可以达到业内一流水准，消费者使用体验良好，这也是很多厂商来寻求与歌尔合作的原因。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VR方面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的产能是怎样的？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：公司认为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产品是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继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智能手机之后非常重要的新型运算平台和人机交互媒介，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不管是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人才储备上还是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储备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在VR领域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都进行了大量的投资。基于对VR市场良性成长的预期，公司在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VR产能</w:t>
            </w:r>
            <w:r w:rsidR="00FC72C9">
              <w:rPr>
                <w:rFonts w:ascii="宋体" w:hAnsi="宋体" w:hint="eastAsia"/>
                <w:bCs/>
                <w:iCs/>
                <w:sz w:val="24"/>
                <w:szCs w:val="24"/>
              </w:rPr>
              <w:t>方面保留</w:t>
            </w:r>
            <w:r w:rsidR="00FC72C9">
              <w:rPr>
                <w:rFonts w:ascii="宋体" w:hAnsi="宋体"/>
                <w:bCs/>
                <w:iCs/>
                <w:sz w:val="24"/>
                <w:szCs w:val="24"/>
              </w:rPr>
              <w:t>了足够的调整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空间，可以满足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和客户的需求。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三：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投资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Kopin的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考虑是什么？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K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opin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AR领域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涉及的超小型显示技术、声学技术和电池技术等方面有其独特的先进性，公司也是瞄准未来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AR和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可穿戴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应用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提前进行技术贮备，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签订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了相关的战略合作协议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，并针对相关产品项目展开了深度合作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四：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手机运算能力和显示技术增强会不会对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VR一体机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形成冲击？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：手机搭配VR手机盒子类设备和VR一体机针对不同的使用场景和消费者诉求，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尽管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手机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运算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能力不断提高，但是在光学结构精度，系统架构，交互方式，散热管理等方面上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VR一体机具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有明显的优势。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未来的VR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一体机也会有高中低端的区别，高端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VR一体机产品结合Eye-Tracking, Gesture Control, Position Tracking等相关技术，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在使用体验上更是VR手机盒子类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无法比拟的。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在安卓机客户领域的占比情况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怎样的？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公司在安卓机客户领域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已经居于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市场前列，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个别客户方面同主要竞争对手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差距也在不断缩小，未来公司有信心进一步提升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类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的市场份额。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六：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声学产品的市场空间是怎样的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?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声学产品的升级及欧美大客户对产品指标要求的收严，意味着公司要在材料和工艺、设备上做改进，才能做到性能和成本的平衡，新的要求也导致相关的供应链全面升级换代，这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会进一步打开声学市场空间，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行业门槛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，这对公司发展形成长期利好。在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防水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应用、立体声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音效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和其他传感器进行整合方面，公司都处在市场领先地位。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七：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声学领域的核心竞争力是怎样的？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立足潍坊，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不断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垂直整合制造链，在很多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原材料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、模具、自动化设备方面实现了自制，自主设计、制造精密模具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自动化产线，这是歌尔不断成长壮大的核心竞争力。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针对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新的声学器件要求，公司采用了新型的振膜材料，应用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诸如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粉末冶金等新工艺，在声学特性上不断满足客户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新的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更高的要求。另一方面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自动化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生产的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精度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和效率不断提升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在品质管控能力上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有优势，这是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进入竞争对手无法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相比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问题八：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公司可转债的存续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考量是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怎样的？</w:t>
            </w: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2014年12月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份发行可转换公司债券，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债券于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2015年6月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进入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转股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目前的转股价格是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26.23元/股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公司募投项目进展顺利。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如果后续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公司股价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表现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符合《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转债募集说明书》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约定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的条件，将按照要求推动转股。</w:t>
            </w:r>
          </w:p>
          <w:p w:rsidR="000707CB" w:rsidRDefault="000707C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highlight w:val="yellow"/>
              </w:rPr>
            </w:pPr>
          </w:p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本次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调研活动到此结束。</w:t>
            </w:r>
          </w:p>
        </w:tc>
      </w:tr>
      <w:tr w:rsidR="000707CB">
        <w:tc>
          <w:tcPr>
            <w:tcW w:w="1853" w:type="dxa"/>
            <w:shd w:val="clear" w:color="auto" w:fill="auto"/>
            <w:vAlign w:val="center"/>
          </w:tcPr>
          <w:p w:rsidR="000707CB" w:rsidRDefault="00AD4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备查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承诺书</w:t>
            </w:r>
          </w:p>
        </w:tc>
      </w:tr>
      <w:tr w:rsidR="000707CB">
        <w:tc>
          <w:tcPr>
            <w:tcW w:w="1853" w:type="dxa"/>
            <w:shd w:val="clear" w:color="auto" w:fill="auto"/>
          </w:tcPr>
          <w:p w:rsidR="000707CB" w:rsidRDefault="00AD4DEC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443" w:type="dxa"/>
            <w:shd w:val="clear" w:color="auto" w:fill="auto"/>
          </w:tcPr>
          <w:p w:rsidR="000707CB" w:rsidRDefault="00AD4DEC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月17日</w:t>
            </w:r>
          </w:p>
        </w:tc>
      </w:tr>
    </w:tbl>
    <w:p w:rsidR="000707CB" w:rsidRDefault="000707CB">
      <w:pPr>
        <w:ind w:firstLineChars="200" w:firstLine="480"/>
        <w:rPr>
          <w:sz w:val="24"/>
          <w:szCs w:val="24"/>
        </w:rPr>
      </w:pPr>
    </w:p>
    <w:p w:rsidR="000707CB" w:rsidRDefault="000707CB"/>
    <w:sectPr w:rsidR="0007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A" w:rsidRDefault="00B32BAA" w:rsidP="00FC72C9">
      <w:r>
        <w:separator/>
      </w:r>
    </w:p>
  </w:endnote>
  <w:endnote w:type="continuationSeparator" w:id="0">
    <w:p w:rsidR="00B32BAA" w:rsidRDefault="00B32BAA" w:rsidP="00FC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A" w:rsidRDefault="00B32BAA" w:rsidP="00FC72C9">
      <w:r>
        <w:separator/>
      </w:r>
    </w:p>
  </w:footnote>
  <w:footnote w:type="continuationSeparator" w:id="0">
    <w:p w:rsidR="00B32BAA" w:rsidRDefault="00B32BAA" w:rsidP="00FC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B"/>
    <w:rsid w:val="000707CB"/>
    <w:rsid w:val="001F60B5"/>
    <w:rsid w:val="00AD4DEC"/>
    <w:rsid w:val="00B32BAA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973EF-5840-4EA2-9E58-AC978D6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贾阳</dc:creator>
  <cp:lastModifiedBy>贾阳</cp:lastModifiedBy>
  <cp:revision>132</cp:revision>
  <dcterms:created xsi:type="dcterms:W3CDTF">2015-04-27T02:00:00Z</dcterms:created>
  <dcterms:modified xsi:type="dcterms:W3CDTF">2017-02-17T09:55:00Z</dcterms:modified>
</cp:coreProperties>
</file>